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00" w:rsidRPr="00F72900" w:rsidRDefault="00F72900" w:rsidP="00F72900">
      <w:pPr>
        <w:pStyle w:val="2"/>
        <w:rPr>
          <w:sz w:val="36"/>
          <w:szCs w:val="36"/>
        </w:rPr>
      </w:pPr>
      <w:bookmarkStart w:id="0" w:name="_Toc479840199"/>
      <w:r w:rsidRPr="00F72900">
        <w:rPr>
          <w:sz w:val="36"/>
          <w:szCs w:val="36"/>
        </w:rPr>
        <w:t>Управление пенсионными накоплениями: будьте внимательны при смене страховщика</w:t>
      </w:r>
      <w:bookmarkEnd w:id="0"/>
    </w:p>
    <w:p w:rsidR="00F72900" w:rsidRDefault="00F72900" w:rsidP="00F72900">
      <w:pPr>
        <w:pStyle w:val="1"/>
      </w:pPr>
      <w:bookmarkStart w:id="1" w:name="_Toc479840200"/>
      <w:r>
        <w:t xml:space="preserve">В последнее время в банках, страховых компаниях и других местах назойливо предлагают гражданам перевести свои </w:t>
      </w:r>
      <w:r>
        <w:rPr>
          <w:b/>
        </w:rPr>
        <w:t xml:space="preserve">пенсионные накопления </w:t>
      </w:r>
      <w:r>
        <w:t xml:space="preserve">в негосударственные </w:t>
      </w:r>
      <w:r>
        <w:rPr>
          <w:b/>
        </w:rPr>
        <w:t>пенсионные фонды</w:t>
      </w:r>
      <w:r>
        <w:t>, порой гражданину не дают развернутого ответа, почему он должен это сделать.</w:t>
      </w:r>
      <w:bookmarkEnd w:id="1"/>
    </w:p>
    <w:p w:rsidR="00F72900" w:rsidRDefault="00F72900" w:rsidP="00F72900">
      <w:pPr>
        <w:pStyle w:val="a3"/>
      </w:pPr>
      <w:r>
        <w:t xml:space="preserve">Как правило, в арсенале таких «доброжелателей» один аргумент – у нас вы не только сбережете, но и приумножите свои накопления, а если вы не переведете в </w:t>
      </w:r>
      <w:r>
        <w:rPr>
          <w:b/>
        </w:rPr>
        <w:t>НПФ</w:t>
      </w:r>
      <w:r>
        <w:t xml:space="preserve"> свои накопления, то государство их направит на выплату </w:t>
      </w:r>
      <w:r>
        <w:rPr>
          <w:b/>
        </w:rPr>
        <w:t>пенсионерам</w:t>
      </w:r>
      <w:r>
        <w:t>.</w:t>
      </w:r>
    </w:p>
    <w:p w:rsidR="00F72900" w:rsidRDefault="00F72900" w:rsidP="00F72900">
      <w:pPr>
        <w:pStyle w:val="a3"/>
      </w:pPr>
      <w:r>
        <w:t xml:space="preserve">Разъясняем: Ваши </w:t>
      </w:r>
      <w:r>
        <w:rPr>
          <w:b/>
        </w:rPr>
        <w:t xml:space="preserve">пенсионные накопления </w:t>
      </w:r>
      <w:r>
        <w:t xml:space="preserve">не могут быть изъяты государством и отправлены на выплату </w:t>
      </w:r>
      <w:r>
        <w:rPr>
          <w:b/>
        </w:rPr>
        <w:t>пенсий</w:t>
      </w:r>
      <w:r>
        <w:t xml:space="preserve"> нынешним </w:t>
      </w:r>
      <w:r>
        <w:rPr>
          <w:b/>
        </w:rPr>
        <w:t>пенсионерам</w:t>
      </w:r>
      <w:r>
        <w:t xml:space="preserve">. Никаких требований к переводу </w:t>
      </w:r>
      <w:r>
        <w:rPr>
          <w:b/>
        </w:rPr>
        <w:t xml:space="preserve">пенсионных накоплений </w:t>
      </w:r>
      <w:r>
        <w:t xml:space="preserve">в </w:t>
      </w:r>
      <w:r>
        <w:rPr>
          <w:b/>
        </w:rPr>
        <w:t>НПФ</w:t>
      </w:r>
      <w:r>
        <w:t xml:space="preserve"> не существует. </w:t>
      </w:r>
      <w:r>
        <w:rPr>
          <w:b/>
        </w:rPr>
        <w:t xml:space="preserve">Пенсионные накопления </w:t>
      </w:r>
      <w:r>
        <w:t xml:space="preserve">инвестируются и будут Вам выплачиваться после выхода на </w:t>
      </w:r>
      <w:r>
        <w:rPr>
          <w:b/>
        </w:rPr>
        <w:t>пенсию</w:t>
      </w:r>
      <w:r>
        <w:t xml:space="preserve"> вне зависимости от того, где они формируются (это может быть как </w:t>
      </w:r>
      <w:r>
        <w:rPr>
          <w:b/>
        </w:rPr>
        <w:t>ПФР</w:t>
      </w:r>
      <w:r>
        <w:t xml:space="preserve">, так и негосударственный </w:t>
      </w:r>
      <w:r>
        <w:rPr>
          <w:b/>
        </w:rPr>
        <w:t>пенсионный фонд</w:t>
      </w:r>
      <w:r>
        <w:t>).</w:t>
      </w:r>
    </w:p>
    <w:p w:rsidR="00F72900" w:rsidRDefault="00F72900" w:rsidP="00F72900">
      <w:pPr>
        <w:pStyle w:val="a3"/>
      </w:pPr>
      <w:r>
        <w:t xml:space="preserve">Переводить ваши накопления в негосударственный </w:t>
      </w:r>
      <w:r>
        <w:rPr>
          <w:b/>
        </w:rPr>
        <w:t>пенсионный фонд</w:t>
      </w:r>
      <w:r>
        <w:t xml:space="preserve"> или нет – Ваше право! Только Вы сами должны решить, кому в части будущей </w:t>
      </w:r>
      <w:r>
        <w:rPr>
          <w:b/>
        </w:rPr>
        <w:t>пенсии</w:t>
      </w:r>
      <w:r>
        <w:t xml:space="preserve"> вы больше доверяете – государству или частным компаниям.</w:t>
      </w:r>
    </w:p>
    <w:p w:rsidR="00F72900" w:rsidRDefault="00F72900" w:rsidP="00F72900">
      <w:pPr>
        <w:pStyle w:val="a3"/>
      </w:pPr>
      <w:r>
        <w:t xml:space="preserve">Если Вы приняли решение о переводе </w:t>
      </w:r>
      <w:r>
        <w:rPr>
          <w:b/>
        </w:rPr>
        <w:t xml:space="preserve">пенсионных накоплений </w:t>
      </w:r>
      <w:r>
        <w:t xml:space="preserve">в </w:t>
      </w:r>
      <w:r>
        <w:rPr>
          <w:b/>
        </w:rPr>
        <w:t>НПФ</w:t>
      </w:r>
      <w:r>
        <w:t>, отнеситесь к смене фонда максимально ответственно. Выбор нужно делать осознанно, внимательно читать условия договора и не подписывать документы, содержание которых вам непонятно, в том числе договоры при «приеме на работу», оформлении кредита, покупке мобильного телефона и т.п.</w:t>
      </w:r>
    </w:p>
    <w:p w:rsidR="00F72900" w:rsidRDefault="00F72900" w:rsidP="00F72900">
      <w:pPr>
        <w:pStyle w:val="a3"/>
      </w:pPr>
      <w:r>
        <w:t xml:space="preserve">Кроме того, необходимо помнить – если Вы меняете </w:t>
      </w:r>
      <w:r>
        <w:rPr>
          <w:b/>
        </w:rPr>
        <w:t>пенсионный фонд</w:t>
      </w:r>
      <w:r>
        <w:t xml:space="preserve"> чаще, чем раз в пять лет, Ваши деньги переводятся в него без учета инвестиционного дохода. Вам это невыгодно.</w:t>
      </w:r>
    </w:p>
    <w:p w:rsidR="003F4EB2" w:rsidRDefault="003F4EB2" w:rsidP="00F72900">
      <w:pPr>
        <w:pStyle w:val="a3"/>
      </w:pPr>
    </w:p>
    <w:p w:rsidR="003F4EB2" w:rsidRDefault="003F4EB2" w:rsidP="00F72900">
      <w:pPr>
        <w:pStyle w:val="a3"/>
      </w:pPr>
      <w:r>
        <w:t xml:space="preserve">Начальник отдела                                         Светлана </w:t>
      </w:r>
      <w:proofErr w:type="spellStart"/>
      <w:r>
        <w:t>Ливента</w:t>
      </w:r>
      <w:proofErr w:type="spellEnd"/>
      <w:r>
        <w:t xml:space="preserve"> </w:t>
      </w:r>
    </w:p>
    <w:p w:rsidR="00985C2E" w:rsidRPr="00F72900" w:rsidRDefault="00985C2E" w:rsidP="00F72900"/>
    <w:sectPr w:rsidR="00985C2E" w:rsidRPr="00F72900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5C2E"/>
    <w:rsid w:val="00281F3F"/>
    <w:rsid w:val="003F4EB2"/>
    <w:rsid w:val="005B3885"/>
    <w:rsid w:val="009624B4"/>
    <w:rsid w:val="00985C2E"/>
    <w:rsid w:val="00F7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F72900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985C2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985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F72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F72900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F72900"/>
    <w:rPr>
      <w:rFonts w:ascii="Arial" w:eastAsia="Times New Roman" w:hAnsi="Arial" w:cs="Arial"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9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003-014-1101</cp:lastModifiedBy>
  <cp:revision>3</cp:revision>
  <dcterms:created xsi:type="dcterms:W3CDTF">2017-04-14T08:00:00Z</dcterms:created>
  <dcterms:modified xsi:type="dcterms:W3CDTF">2017-04-18T00:31:00Z</dcterms:modified>
</cp:coreProperties>
</file>