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7" w:rsidRDefault="00C80327" w:rsidP="00C80327">
      <w:pPr>
        <w:pStyle w:val="2"/>
      </w:pPr>
      <w:r>
        <w:t xml:space="preserve">"Молчуны" увеличили доходы </w:t>
      </w:r>
      <w:r w:rsidRPr="00007552">
        <w:t>НПФ</w:t>
      </w:r>
    </w:p>
    <w:p w:rsidR="00C80327" w:rsidRDefault="00C80327" w:rsidP="00C80327">
      <w:pPr>
        <w:pStyle w:val="1"/>
      </w:pPr>
      <w:bookmarkStart w:id="0" w:name="_Toc480269796"/>
      <w:r>
        <w:t xml:space="preserve">Но полученную прибыль фонды поделят между </w:t>
      </w:r>
      <w:r w:rsidRPr="00007552">
        <w:rPr>
          <w:b/>
        </w:rPr>
        <w:t>пенсионерами</w:t>
      </w:r>
      <w:r>
        <w:t xml:space="preserve"> и бенефициарами.</w:t>
      </w:r>
      <w:bookmarkEnd w:id="0"/>
    </w:p>
    <w:p w:rsidR="00C80327" w:rsidRDefault="00C80327" w:rsidP="00C80327">
      <w:pPr>
        <w:pStyle w:val="a3"/>
      </w:pPr>
      <w:r>
        <w:t xml:space="preserve"> Подавляющее большинство </w:t>
      </w:r>
      <w:r w:rsidRPr="00007552">
        <w:rPr>
          <w:b/>
        </w:rPr>
        <w:t>негосударственных</w:t>
      </w:r>
      <w:r>
        <w:t xml:space="preserve"> </w:t>
      </w:r>
      <w:r>
        <w:rPr>
          <w:b/>
        </w:rPr>
        <w:t>пенсионных фондов</w:t>
      </w:r>
      <w:r>
        <w:t xml:space="preserve"> (</w:t>
      </w:r>
      <w:r w:rsidRPr="00007552">
        <w:rPr>
          <w:b/>
        </w:rPr>
        <w:t>НПФ</w:t>
      </w:r>
      <w:r>
        <w:t xml:space="preserve">) из топ-20 по итогам 2016 года показали рост прибыли. Высокий результат обеспечили два ключевых слагаемых: приток средств "молчунов" и </w:t>
      </w:r>
      <w:proofErr w:type="spellStart"/>
      <w:r>
        <w:t>инвестдоход</w:t>
      </w:r>
      <w:proofErr w:type="spellEnd"/>
      <w:r>
        <w:t xml:space="preserve"> от размещения в корпоративные бонды и ОФЗ. Вместе с тем прибавка на счетах клиентов фондов не будет столь же весомой - часть прибыли уже ушла на оплату услуг </w:t>
      </w:r>
      <w:proofErr w:type="spellStart"/>
      <w:r>
        <w:t>кэптивных</w:t>
      </w:r>
      <w:proofErr w:type="spellEnd"/>
      <w:r>
        <w:t xml:space="preserve"> УК, а также направлена на резервы, которые потребуются фондам для прохождения </w:t>
      </w:r>
      <w:proofErr w:type="spellStart"/>
      <w:proofErr w:type="gramStart"/>
      <w:r>
        <w:t>стресс-тестов</w:t>
      </w:r>
      <w:proofErr w:type="spellEnd"/>
      <w:proofErr w:type="gramEnd"/>
      <w:r>
        <w:t>.</w:t>
      </w:r>
    </w:p>
    <w:p w:rsidR="00C80327" w:rsidRDefault="00C80327" w:rsidP="00C80327">
      <w:pPr>
        <w:pStyle w:val="a3"/>
      </w:pPr>
      <w:r>
        <w:t xml:space="preserve"> Как следует из отчетности по российским стандартам крупнейших по активам </w:t>
      </w:r>
      <w:r w:rsidRPr="00007552">
        <w:rPr>
          <w:b/>
        </w:rPr>
        <w:t>НПФ</w:t>
      </w:r>
      <w:r>
        <w:t xml:space="preserve"> (к понедельнику ее не опубликовали лишь фонд "Благосостояние", </w:t>
      </w:r>
      <w:r w:rsidRPr="00007552">
        <w:rPr>
          <w:b/>
        </w:rPr>
        <w:t>НПФ</w:t>
      </w:r>
      <w:r>
        <w:t xml:space="preserve"> электроэнергетики и Большой </w:t>
      </w:r>
      <w:r w:rsidRPr="00007552">
        <w:rPr>
          <w:b/>
        </w:rPr>
        <w:t>пенсионный</w:t>
      </w:r>
      <w:r>
        <w:rPr>
          <w:b/>
        </w:rPr>
        <w:t xml:space="preserve"> фонд</w:t>
      </w:r>
      <w:r>
        <w:t xml:space="preserve">), работающих с </w:t>
      </w:r>
      <w:r>
        <w:rPr>
          <w:b/>
        </w:rPr>
        <w:t>пенсионными накоплениями</w:t>
      </w:r>
      <w:r>
        <w:t xml:space="preserve"> и резервами, 2016 год был удачным для большинства из них. Их активы выросли за год почти на 34%, до 2,6 </w:t>
      </w:r>
      <w:proofErr w:type="spellStart"/>
      <w:proofErr w:type="gramStart"/>
      <w:r>
        <w:t>трлн</w:t>
      </w:r>
      <w:proofErr w:type="spellEnd"/>
      <w:proofErr w:type="gramEnd"/>
      <w:r>
        <w:t xml:space="preserve"> руб. (в том числе за счет 259 </w:t>
      </w:r>
      <w:proofErr w:type="spellStart"/>
      <w:r>
        <w:t>млрд</w:t>
      </w:r>
      <w:proofErr w:type="spellEnd"/>
      <w:r>
        <w:t xml:space="preserve"> руб. "молчунов"-клиентов </w:t>
      </w:r>
      <w:r w:rsidRPr="00007552">
        <w:rPr>
          <w:b/>
        </w:rPr>
        <w:t>ПФР</w:t>
      </w:r>
      <w:r>
        <w:t xml:space="preserve">, см. "Ъ" от 6 мая 2016 года). Прибыль до налогообложения увеличилась на 58%, до 212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</w:t>
      </w:r>
    </w:p>
    <w:p w:rsidR="00C80327" w:rsidRDefault="00C80327" w:rsidP="00C80327">
      <w:pPr>
        <w:pStyle w:val="a3"/>
      </w:pPr>
      <w:r>
        <w:t xml:space="preserve"> Безусловным лидером роста прибыли до налогообложения по итогам 2016 года стал </w:t>
      </w:r>
      <w:r w:rsidRPr="00007552">
        <w:rPr>
          <w:b/>
        </w:rPr>
        <w:t>НПФ</w:t>
      </w:r>
      <w:r>
        <w:t xml:space="preserve"> "</w:t>
      </w:r>
      <w:proofErr w:type="spellStart"/>
      <w:r>
        <w:t>Газфонд</w:t>
      </w:r>
      <w:proofErr w:type="spellEnd"/>
      <w:r>
        <w:t xml:space="preserve">" (рост в 3,45 раза, до 38,65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руб.). Почти втрое выросла прибыль </w:t>
      </w:r>
      <w:r w:rsidRPr="00007552">
        <w:rPr>
          <w:b/>
        </w:rPr>
        <w:t>НПФ</w:t>
      </w:r>
      <w:r>
        <w:t xml:space="preserve"> "Согласие" (до 4,7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руб.), вдвое - у </w:t>
      </w:r>
      <w:r w:rsidRPr="00007552">
        <w:rPr>
          <w:b/>
        </w:rPr>
        <w:t>НПФ</w:t>
      </w:r>
      <w:r>
        <w:t xml:space="preserve"> "</w:t>
      </w:r>
      <w:proofErr w:type="spellStart"/>
      <w:r>
        <w:t>Транснефть</w:t>
      </w:r>
      <w:proofErr w:type="spellEnd"/>
      <w:r>
        <w:t xml:space="preserve">" (до 7,8 </w:t>
      </w:r>
      <w:proofErr w:type="spellStart"/>
      <w:r>
        <w:t>млрд</w:t>
      </w:r>
      <w:proofErr w:type="spellEnd"/>
      <w:r>
        <w:t xml:space="preserve"> руб.). "Основным источником роста прибыли стал двукратный рост объема </w:t>
      </w:r>
      <w:r>
        <w:rPr>
          <w:b/>
        </w:rPr>
        <w:t>пенсионных накоплений</w:t>
      </w:r>
      <w:r>
        <w:t xml:space="preserve"> (с 22,2 </w:t>
      </w:r>
      <w:proofErr w:type="spellStart"/>
      <w:proofErr w:type="gramStart"/>
      <w:r>
        <w:t>млрд</w:t>
      </w:r>
      <w:proofErr w:type="spellEnd"/>
      <w:proofErr w:type="gramEnd"/>
      <w:r>
        <w:t xml:space="preserve"> до 48 </w:t>
      </w:r>
      <w:proofErr w:type="spellStart"/>
      <w:r>
        <w:t>млрд</w:t>
      </w:r>
      <w:proofErr w:type="spellEnd"/>
      <w:r>
        <w:t xml:space="preserve"> руб.) за счет привлечения клиентов по итогам переходной кампании 2015 года",- говорит гендиректор АО "</w:t>
      </w:r>
      <w:r w:rsidRPr="00007552">
        <w:rPr>
          <w:b/>
        </w:rPr>
        <w:t>НПФ</w:t>
      </w:r>
      <w:r>
        <w:t xml:space="preserve"> Согласие" Александр </w:t>
      </w:r>
      <w:proofErr w:type="spellStart"/>
      <w:r>
        <w:t>Вьюницкий</w:t>
      </w:r>
      <w:proofErr w:type="spellEnd"/>
      <w:r>
        <w:t xml:space="preserve">. "На прибыль нашего фонда (33,6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руб., рост в 1,65 раза.- </w:t>
      </w:r>
      <w:proofErr w:type="gramStart"/>
      <w:r>
        <w:t xml:space="preserve">"Ъ") в первую очередь повлияло увеличение в 1,5 раза </w:t>
      </w:r>
      <w:r w:rsidRPr="00007552">
        <w:rPr>
          <w:b/>
        </w:rPr>
        <w:t>пенсионных активов</w:t>
      </w:r>
      <w:r>
        <w:t xml:space="preserve">",- отмечает гендиректор </w:t>
      </w:r>
      <w:r w:rsidRPr="00007552">
        <w:rPr>
          <w:b/>
        </w:rPr>
        <w:t>НПФ</w:t>
      </w:r>
      <w:r>
        <w:t xml:space="preserve"> Сбербанка Галина Морозова.</w:t>
      </w:r>
      <w:proofErr w:type="gramEnd"/>
      <w:r>
        <w:t xml:space="preserve"> Дополнительным источником роста прибыли стала переоценка портфеля корпоративных облигаций в условиях снижения ключевой ставки ЦБ. "Размещаясь в корпоративные бонды, </w:t>
      </w:r>
      <w:r w:rsidRPr="00007552">
        <w:rPr>
          <w:b/>
        </w:rPr>
        <w:t>НПФ</w:t>
      </w:r>
      <w:r>
        <w:t xml:space="preserve"> получали доходность в 12-12,5% годовых, инвестированием в </w:t>
      </w:r>
      <w:proofErr w:type="gramStart"/>
      <w:r>
        <w:t>более рисковые</w:t>
      </w:r>
      <w:proofErr w:type="gramEnd"/>
      <w:r>
        <w:t xml:space="preserve"> активы, например акции, крупные игроки не увлекались",- поясняет директор группы рейтингов финансовых институтов АКРА Юрий Ногин. "В 2016 году у многих </w:t>
      </w:r>
      <w:r w:rsidRPr="00007552">
        <w:rPr>
          <w:b/>
        </w:rPr>
        <w:t>НПФ</w:t>
      </w:r>
      <w:r>
        <w:t xml:space="preserve"> еще действовали депозиты с относительно высокими ставками",- отмечает управляющий директор по корпоративным рейтингам "Эксперт РА" Павел Митрофанов.</w:t>
      </w:r>
    </w:p>
    <w:p w:rsidR="00C80327" w:rsidRDefault="00C80327" w:rsidP="00C80327">
      <w:pPr>
        <w:pStyle w:val="a3"/>
      </w:pPr>
      <w:r>
        <w:t xml:space="preserve"> При этом в абсолютных цифрах выросли и расходы </w:t>
      </w:r>
      <w:r w:rsidRPr="00007552">
        <w:rPr>
          <w:b/>
        </w:rPr>
        <w:t>НПФ</w:t>
      </w:r>
      <w:r>
        <w:t xml:space="preserve"> на оплату услуг </w:t>
      </w:r>
      <w:r>
        <w:rPr>
          <w:b/>
        </w:rPr>
        <w:t>управляющих компаний</w:t>
      </w:r>
      <w:r>
        <w:t xml:space="preserve">. Совокупные выплаты вознаграждения УК достигли 20,5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руб., что в 1,5 раза выше показателя 2015 года. "Большинство крупных игроков работает в основном через </w:t>
      </w:r>
      <w:proofErr w:type="spellStart"/>
      <w:r>
        <w:t>кэптивные</w:t>
      </w:r>
      <w:proofErr w:type="spellEnd"/>
      <w:r>
        <w:t xml:space="preserve"> УК, для бенефициаров фондов это источник извлечения доходов от бизнеса, дивиденды фонды смогут платить не ранее 2019-2020 годов",- называет одну из причин роста расходов собеседник "Ъ" из фонда, входящего в топ-20. Как он отмечает, для </w:t>
      </w:r>
      <w:proofErr w:type="spellStart"/>
      <w:r>
        <w:t>кэптивных</w:t>
      </w:r>
      <w:proofErr w:type="spellEnd"/>
      <w:r>
        <w:t xml:space="preserve"> УК уровень вознаграждения составляет 8-9% от величины активов под управлением, для рыночных компаний этот показатель будет ниже в 1,5-2 раза. "По факту у ряда игроков отчисления в УК рассчитываются от стоимости чистых активов и могут превышать 25-30% от прибыли. Чем больший доход </w:t>
      </w:r>
      <w:r w:rsidRPr="00007552">
        <w:rPr>
          <w:b/>
        </w:rPr>
        <w:t>НПФ</w:t>
      </w:r>
      <w:r>
        <w:t xml:space="preserve"> перераспределит через свою </w:t>
      </w:r>
      <w:proofErr w:type="spellStart"/>
      <w:r>
        <w:t>аффилированную</w:t>
      </w:r>
      <w:proofErr w:type="spellEnd"/>
      <w:r>
        <w:t xml:space="preserve"> </w:t>
      </w:r>
      <w:r>
        <w:rPr>
          <w:b/>
        </w:rPr>
        <w:t>управляющую компанию</w:t>
      </w:r>
      <w:r>
        <w:t xml:space="preserve">, тем больше получит бенефициар",- указывает первый вице-президент Национальной ассоциации </w:t>
      </w:r>
      <w:r w:rsidRPr="00007552">
        <w:rPr>
          <w:b/>
        </w:rPr>
        <w:t>НПФ</w:t>
      </w:r>
      <w:r>
        <w:t xml:space="preserve"> (НА</w:t>
      </w:r>
      <w:r>
        <w:rPr>
          <w:b/>
        </w:rPr>
        <w:t>ПФ</w:t>
      </w:r>
      <w:r>
        <w:t xml:space="preserve">) Сергей </w:t>
      </w:r>
      <w:proofErr w:type="spellStart"/>
      <w:r>
        <w:t>Эрлик</w:t>
      </w:r>
      <w:proofErr w:type="spellEnd"/>
      <w:r>
        <w:t>. "За последние пять-семь лет рынок уже сложился и комиссии достигли некоего равновесного значения. Ниже - нерентабельно для УК, выше - не позволяет высокая конкуренция на рынке",- отметила начальник отдела по работе с институциональными инвесторами "</w:t>
      </w:r>
      <w:proofErr w:type="spellStart"/>
      <w:r>
        <w:t>Райффайзен</w:t>
      </w:r>
      <w:proofErr w:type="spellEnd"/>
      <w:r>
        <w:t xml:space="preserve"> Капитала" Юлия </w:t>
      </w:r>
      <w:proofErr w:type="spellStart"/>
      <w:r>
        <w:t>Беренда</w:t>
      </w:r>
      <w:proofErr w:type="spellEnd"/>
      <w:r>
        <w:t xml:space="preserve">. Кроме того, как поясняют участники рынка, часть прибыли фонда может быть направлена в резервы, они могут быть </w:t>
      </w:r>
      <w:r>
        <w:lastRenderedPageBreak/>
        <w:t xml:space="preserve">востребованы при прохождении </w:t>
      </w:r>
      <w:r w:rsidRPr="00007552">
        <w:rPr>
          <w:b/>
        </w:rPr>
        <w:t>НПФ</w:t>
      </w:r>
      <w:r>
        <w:t xml:space="preserve"> </w:t>
      </w:r>
      <w:proofErr w:type="spellStart"/>
      <w:proofErr w:type="gramStart"/>
      <w:r>
        <w:t>стресс-тестов</w:t>
      </w:r>
      <w:proofErr w:type="spellEnd"/>
      <w:proofErr w:type="gramEnd"/>
      <w:r>
        <w:t xml:space="preserve"> (стартуют со второго полугодия текущего года, см. "Ъ" от 11 апреля).</w:t>
      </w:r>
    </w:p>
    <w:p w:rsidR="00A508C5" w:rsidRDefault="00C80327" w:rsidP="00C80327">
      <w:r>
        <w:t xml:space="preserve"> Хотя рост прибыли </w:t>
      </w:r>
      <w:r w:rsidRPr="00007552">
        <w:rPr>
          <w:b/>
        </w:rPr>
        <w:t>НПФ</w:t>
      </w:r>
      <w:r>
        <w:t xml:space="preserve"> - безусловный плюс для клиентов фондов, однако прибавка на счетах будет не столь значительной. "Фонды удачно инвестировали в инструменты с фиксированной доходностью и длительным сроком погашения на фоне высоких ставок, в результате доходность </w:t>
      </w:r>
      <w:r>
        <w:rPr>
          <w:b/>
        </w:rPr>
        <w:t>пенсионных накоплений</w:t>
      </w:r>
      <w:r>
        <w:t xml:space="preserve"> превысила 10% годовых",- отмечает </w:t>
      </w:r>
      <w:proofErr w:type="spellStart"/>
      <w:r>
        <w:t>замгендиректора</w:t>
      </w:r>
      <w:proofErr w:type="spellEnd"/>
      <w:r>
        <w:t xml:space="preserve"> </w:t>
      </w:r>
      <w:r w:rsidRPr="00007552">
        <w:rPr>
          <w:b/>
        </w:rPr>
        <w:t>НПФ</w:t>
      </w:r>
      <w:r>
        <w:t xml:space="preserve"> "</w:t>
      </w:r>
      <w:proofErr w:type="spellStart"/>
      <w:r>
        <w:t>Газфонд</w:t>
      </w:r>
      <w:proofErr w:type="spellEnd"/>
      <w:r>
        <w:t xml:space="preserve"> </w:t>
      </w:r>
      <w:r>
        <w:rPr>
          <w:b/>
        </w:rPr>
        <w:t>Пенсионные накопления</w:t>
      </w:r>
      <w:r>
        <w:t>" Иван Евстифеев. К настоящему времени лишь половина крупных фондов, раскрывших бухгалтерскую отчетность, опубликовали и доходность от инвестирования накоплений. Однако во всех случаях</w:t>
      </w:r>
    </w:p>
    <w:sectPr w:rsidR="00A508C5" w:rsidSect="00A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0327"/>
    <w:rsid w:val="00A508C5"/>
    <w:rsid w:val="00C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C80327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C803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C8032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C8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C80327"/>
    <w:pPr>
      <w:spacing w:before="0" w:after="120"/>
      <w:ind w:firstLine="709"/>
    </w:pPr>
    <w:rPr>
      <w:rFonts w:ascii="Arial" w:eastAsia="Times New Roman" w:hAnsi="Arial" w:cs="Arial"/>
      <w:b w:val="0"/>
      <w:i/>
      <w:color w:val="auto"/>
      <w:szCs w:val="26"/>
    </w:rPr>
  </w:style>
  <w:style w:type="character" w:customStyle="1" w:styleId="10">
    <w:name w:val="Б1 Знак"/>
    <w:basedOn w:val="30"/>
    <w:link w:val="1"/>
    <w:rsid w:val="00C80327"/>
    <w:rPr>
      <w:rFonts w:ascii="Arial" w:eastAsia="Times New Roman" w:hAnsi="Arial" w:cs="Arial"/>
      <w:i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03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2017-04-19T06:26:00Z</dcterms:created>
  <dcterms:modified xsi:type="dcterms:W3CDTF">2017-04-19T06:26:00Z</dcterms:modified>
</cp:coreProperties>
</file>